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0" w:line="240" w:lineRule="auto"/>
        <w:rPr>
          <w:rFonts w:ascii="HY헤드라인M" w:eastAsia="HY헤드라인M" w:hAnsi="HY헤드라인M"/>
          <w:sz w:val="18"/>
          <w:szCs w:val="20"/>
        </w:rPr>
      </w:pPr>
      <w:r>
        <w:rPr>
          <w:rFonts w:ascii="HY헤드라인M" w:eastAsia="HY헤드라인M" w:hAnsi="HY헤드라인M" w:hint="eastAsia"/>
          <w:sz w:val="18"/>
          <w:szCs w:val="20"/>
        </w:rPr>
        <w:t>[한국원자력학회 학술발표회 논문 분야코드]</w:t>
      </w:r>
    </w:p>
    <w:tbl>
      <w:tblPr>
        <w:tblpPr w:leftFromText="113" w:rightFromText="113" w:bottomFromText="57" w:vertAnchor="page" w:tblpX="97" w:tblpY="1090"/>
        <w:tblW w:w="10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  <w:tblLayout w:type="fixed"/>
        <w:tblCellMar>
          <w:left w:w="99" w:type="dxa"/>
          <w:right w:w="99" w:type="dxa"/>
        </w:tblCellMar>
      </w:tblPr>
      <w:tblGrid>
        <w:gridCol w:w="1239"/>
        <w:gridCol w:w="2103"/>
        <w:gridCol w:w="1174"/>
        <w:gridCol w:w="5981"/>
      </w:tblGrid>
      <w:tr>
        <w:trPr>
          <w:trHeight w:val="20" w:hRule="atLeast"/>
        </w:trPr>
        <w:tc>
          <w:tcPr>
            <w:tcW w:w="1239" w:type="dxa"/>
            <w:tcBorders>
              <w:top w:val="single" w:sz="12" w:space="0" w:color="auto"/>
              <w:left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b/>
                <w:bCs/>
                <w:color w:val="000000"/>
                <w:sz w:val="16"/>
                <w:szCs w:val="16"/>
                <w:kern w:val="0"/>
              </w:rPr>
            </w:pPr>
            <w:bookmarkStart w:id="1" w:name="RANGE!A1:D62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 w:val="16"/>
                <w:szCs w:val="16"/>
                <w:kern w:val="0"/>
              </w:rPr>
              <w:t>대분야코드</w:t>
            </w:r>
            <w:bookmarkEnd w:id="1"/>
          </w:p>
        </w:tc>
        <w:tc>
          <w:tcPr>
            <w:tcW w:w="2103" w:type="dxa"/>
            <w:tcBorders>
              <w:top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b/>
                <w:bCs/>
                <w:color w:val="000000"/>
                <w:sz w:val="16"/>
                <w:szCs w:val="16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 w:val="16"/>
                <w:szCs w:val="16"/>
                <w:kern w:val="0"/>
              </w:rPr>
              <w:t>대분야</w:t>
            </w:r>
          </w:p>
        </w:tc>
        <w:tc>
          <w:tcPr>
            <w:tcW w:w="1174" w:type="dxa"/>
            <w:tcBorders>
              <w:top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b/>
                <w:bCs/>
                <w:color w:val="000000"/>
                <w:sz w:val="16"/>
                <w:szCs w:val="16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 w:val="16"/>
                <w:szCs w:val="16"/>
                <w:kern w:val="0"/>
              </w:rPr>
              <w:t>소분야코드</w:t>
            </w:r>
          </w:p>
        </w:tc>
        <w:tc>
          <w:tcPr>
            <w:tcW w:w="5981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b/>
                <w:bCs/>
                <w:color w:val="000000"/>
                <w:sz w:val="16"/>
                <w:szCs w:val="16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 w:val="16"/>
                <w:szCs w:val="16"/>
                <w:kern w:val="0"/>
              </w:rPr>
              <w:t>소분야</w:t>
            </w:r>
          </w:p>
        </w:tc>
      </w:tr>
      <w:tr>
        <w:trPr>
          <w:trHeight w:val="1391" w:hRule="atLeast"/>
        </w:trPr>
        <w:tc>
          <w:tcPr>
            <w:tcW w:w="1239" w:type="dxa"/>
            <w:tcBorders>
              <w:top w:val="double" w:sz="4" w:space="0" w:color="auto"/>
              <w:left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1</w:t>
            </w:r>
          </w:p>
        </w:tc>
        <w:tc>
          <w:tcPr>
            <w:tcW w:w="2103" w:type="dxa"/>
            <w:tcBorders>
              <w:top w:val="double" w:sz="4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Division of Reactor System Technology </w:t>
            </w:r>
          </w:p>
        </w:tc>
        <w:tc>
          <w:tcPr>
            <w:tcW w:w="1174" w:type="dxa"/>
            <w:tcBorders>
              <w:top w:val="double" w:sz="4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1.1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1.2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1.3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1.4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1.5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1.6</w:t>
            </w:r>
          </w:p>
          <w:p>
            <w:pPr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1.7</w:t>
            </w:r>
          </w:p>
        </w:tc>
        <w:tc>
          <w:tcPr>
            <w:tcW w:w="5981" w:type="dxa"/>
            <w:tcBorders>
              <w:top w:val="double" w:sz="4" w:space="0" w:color="auto"/>
              <w:right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Large Pressurized Water Reactor System Technology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Small and Medium Pressurized Water Reactor System Technology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Heavy Water Reactor System Technology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Liquid Metal Reactor System Technology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High-Temperature Gas-Cooled Reactor System Technology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Research Reactor System Technology</w:t>
            </w:r>
          </w:p>
          <w:p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Nuclear Reactor System Regulation Technology</w:t>
            </w:r>
          </w:p>
        </w:tc>
      </w:tr>
      <w:tr>
        <w:trPr>
          <w:trHeight w:val="875" w:hRule="atLeast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2</w:t>
            </w:r>
          </w:p>
        </w:tc>
        <w:tc>
          <w:tcPr>
            <w:tcW w:w="2103" w:type="dxa"/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Division of Reactor Physics and Computational Science</w:t>
            </w:r>
          </w:p>
        </w:tc>
        <w:tc>
          <w:tcPr>
            <w:tcW w:w="1174" w:type="dxa"/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2.1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2.2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2.3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2.4</w:t>
            </w:r>
          </w:p>
          <w:p>
            <w:pPr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2.5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Reactor Physics/Test․Validation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Fuel Management and Fuel Cycle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Computational Science/Computer Simulation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Nuclear Data</w:t>
            </w:r>
          </w:p>
          <w:p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Advanced Reactor Nuclear Design</w:t>
            </w:r>
          </w:p>
        </w:tc>
      </w:tr>
      <w:tr>
        <w:trPr>
          <w:trHeight w:val="913" w:hRule="atLeast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3</w:t>
            </w:r>
          </w:p>
        </w:tc>
        <w:tc>
          <w:tcPr>
            <w:tcW w:w="2103" w:type="dxa"/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Division of Back-End Nuclear Fuel Cycle</w:t>
            </w:r>
          </w:p>
        </w:tc>
        <w:tc>
          <w:tcPr>
            <w:tcW w:w="1174" w:type="dxa"/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3.1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3.2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3.3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3.4</w:t>
            </w:r>
          </w:p>
          <w:p>
            <w:pPr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3.5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jc w:val="left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Radioactive Waste Treatment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Radioactive Waste Disposal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Decontamination and Decommissioning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Spent Fuel Management</w:t>
            </w:r>
          </w:p>
          <w:p>
            <w:pPr>
              <w:wordWrap/>
              <w:jc w:val="left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Radiochemistry</w:t>
            </w:r>
          </w:p>
        </w:tc>
      </w:tr>
      <w:tr>
        <w:trPr>
          <w:trHeight w:val="731" w:hRule="atLeast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4</w:t>
            </w:r>
          </w:p>
        </w:tc>
        <w:tc>
          <w:tcPr>
            <w:tcW w:w="2103" w:type="dxa"/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Division of Nuclear Fuel and Materials</w:t>
            </w:r>
          </w:p>
        </w:tc>
        <w:tc>
          <w:tcPr>
            <w:tcW w:w="1174" w:type="dxa"/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4.1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4.2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4.3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4.4</w:t>
            </w:r>
          </w:p>
          <w:p>
            <w:pPr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4.5</w:t>
            </w:r>
          </w:p>
          <w:p>
            <w:pPr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4.6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jc w:val="left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Fuel Design and Fabrication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Fuel Performance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Fuel Test and Evaluation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Nuclear Materials Reliability and Degradation</w:t>
            </w:r>
          </w:p>
          <w:p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Nuclear Materials Development</w:t>
            </w:r>
          </w:p>
          <w:p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  <w:t>Structural Integrity of Nuclear Components</w:t>
            </w:r>
          </w:p>
        </w:tc>
      </w:tr>
      <w:tr>
        <w:trPr>
          <w:trHeight w:val="615" w:hRule="atLeast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5</w:t>
            </w:r>
          </w:p>
        </w:tc>
        <w:tc>
          <w:tcPr>
            <w:tcW w:w="2103" w:type="dxa"/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Division of Nuclear Thermal Hydraulics</w:t>
            </w:r>
          </w:p>
        </w:tc>
        <w:tc>
          <w:tcPr>
            <w:tcW w:w="1174" w:type="dxa"/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5.1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5.2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5.3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5.4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Thermal Hydraulic Experiment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  <w:t>Thermal</w:t>
            </w: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  <w:t>Hydraulic Analysis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 xml:space="preserve">Safety </w:t>
            </w:r>
            <w:r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  <w:t xml:space="preserve">Analysis </w:t>
            </w:r>
            <w:r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  <w:t>Issues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  <w:t xml:space="preserve">Advanced Thermal </w:t>
            </w: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H</w:t>
            </w:r>
            <w:r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  <w:t>ydraulics</w:t>
            </w:r>
          </w:p>
        </w:tc>
      </w:tr>
      <w:tr>
        <w:trPr>
          <w:trHeight w:val="950" w:hRule="atLeast"/>
        </w:trPr>
        <w:tc>
          <w:tcPr>
            <w:tcW w:w="1239" w:type="dxa"/>
            <w:tcBorders>
              <w:left w:val="single" w:sz="12" w:space="0" w:color="auto"/>
            </w:tcBorders>
            <w:vAlign w:val="center"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6</w:t>
            </w:r>
          </w:p>
        </w:tc>
        <w:tc>
          <w:tcPr>
            <w:tcW w:w="2103" w:type="dxa"/>
            <w:vAlign w:val="center"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Division of Nuclear Safety</w:t>
            </w:r>
          </w:p>
        </w:tc>
        <w:tc>
          <w:tcPr>
            <w:tcW w:w="1174" w:type="dxa"/>
            <w:vAlign w:val="center"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6.1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6.2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6.3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6.4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</w:tcPr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 xml:space="preserve">Probabilistic Safety Assessment 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Severe Accident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Safety Issues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Fire safety in nuclear facility</w:t>
            </w:r>
          </w:p>
        </w:tc>
      </w:tr>
      <w:tr>
        <w:trPr>
          <w:trHeight w:val="1117" w:hRule="atLeast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7</w:t>
            </w:r>
          </w:p>
        </w:tc>
        <w:tc>
          <w:tcPr>
            <w:tcW w:w="2103" w:type="dxa"/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 Division of Radiation Protection</w:t>
            </w:r>
          </w:p>
        </w:tc>
        <w:tc>
          <w:tcPr>
            <w:tcW w:w="1174" w:type="dxa"/>
            <w:vAlign w:val="center"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7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.1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7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.2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7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.3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7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.4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7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.5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</w:tcPr>
          <w:p>
            <w:pPr>
              <w:autoSpaceDE/>
              <w:widowControl/>
              <w:wordWrap/>
              <w:jc w:val="left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  <w:t>Radiation Protection and Dosimetry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  <w:t>Radiation Shielding and Facility Operation</w:t>
            </w: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 xml:space="preserve"> 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  <w:t>Environmental Impact Assessment and Measurement of Environmental Radiation</w:t>
            </w: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  <w:t>Emergency Response to Radiological Accident</w:t>
            </w:r>
          </w:p>
          <w:p>
            <w:pPr>
              <w:wordWrap/>
              <w:jc w:val="left"/>
              <w:spacing w:after="0" w:line="214" w:lineRule="auto"/>
              <w:rPr>
                <w:rFonts w:ascii="함초롬돋움" w:eastAsia="함초롬돋움" w:hAnsi="함초롬돋움" w:cs="함초롬돋움"/>
                <w:b/>
                <w:szCs w:val="20"/>
                <w:kern w:val="0"/>
              </w:rPr>
            </w:pPr>
            <w:r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  <w:t>Radiation Medicine and Biological Effect</w:t>
            </w:r>
          </w:p>
        </w:tc>
      </w:tr>
      <w:tr>
        <w:trPr>
          <w:trHeight w:val="339" w:hRule="atLeast"/>
        </w:trPr>
        <w:tc>
          <w:tcPr>
            <w:tcW w:w="1239" w:type="dxa"/>
            <w:tcBorders>
              <w:left w:val="single" w:sz="12" w:space="0" w:color="auto"/>
            </w:tcBorders>
            <w:vAlign w:val="center"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8</w:t>
            </w:r>
          </w:p>
        </w:tc>
        <w:tc>
          <w:tcPr>
            <w:tcW w:w="2103" w:type="dxa"/>
            <w:vAlign w:val="center"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Division of Radiation Utilization and Instrumentation</w:t>
            </w:r>
          </w:p>
        </w:tc>
        <w:tc>
          <w:tcPr>
            <w:tcW w:w="1174" w:type="dxa"/>
            <w:vAlign w:val="center"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8.1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8.2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8.3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8.4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</w:tcPr>
          <w:p>
            <w:pPr>
              <w:autoSpaceDE/>
              <w:widowControl/>
              <w:wordWrap/>
              <w:jc w:val="left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  <w:t>Radiation Instrumentation</w:t>
            </w:r>
          </w:p>
          <w:p>
            <w:pPr>
              <w:autoSpaceDE/>
              <w:widowControl/>
              <w:wordWrap/>
              <w:jc w:val="left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  <w:t>Radioisotope Production and Application</w:t>
            </w:r>
          </w:p>
          <w:p>
            <w:pPr>
              <w:autoSpaceDE/>
              <w:widowControl/>
              <w:wordWrap/>
              <w:jc w:val="left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  <w:t>Neutron Beam Application</w:t>
            </w:r>
          </w:p>
          <w:p>
            <w:pPr>
              <w:autoSpaceDE/>
              <w:widowControl/>
              <w:wordWrap/>
              <w:jc w:val="left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  <w:t>Radiation Processing and Bioengineering</w:t>
            </w:r>
          </w:p>
        </w:tc>
      </w:tr>
      <w:tr>
        <w:trPr>
          <w:trHeight w:val="339" w:hRule="atLeast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9</w:t>
            </w:r>
          </w:p>
        </w:tc>
        <w:tc>
          <w:tcPr>
            <w:tcW w:w="2103" w:type="dxa"/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Division of Quantum Engineering and Nuclear Fusion</w:t>
            </w:r>
          </w:p>
        </w:tc>
        <w:tc>
          <w:tcPr>
            <w:tcW w:w="1174" w:type="dxa"/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9</w:t>
            </w: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.1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9</w:t>
            </w: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.2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9</w:t>
            </w: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.3</w:t>
            </w:r>
          </w:p>
          <w:p>
            <w:pPr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9</w:t>
            </w: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jc w:val="left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Particle Accelerator Engineering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Optics and Laser Engineering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Nuclear Fusion and Plasma Technology</w:t>
            </w:r>
          </w:p>
          <w:p>
            <w:pPr>
              <w:wordWrap/>
              <w:jc w:val="left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 xml:space="preserve">Radiation Generator Technology </w:t>
            </w:r>
          </w:p>
        </w:tc>
      </w:tr>
      <w:tr>
        <w:trPr>
          <w:trHeight w:val="894" w:hRule="atLeast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10</w:t>
            </w:r>
          </w:p>
        </w:tc>
        <w:tc>
          <w:tcPr>
            <w:tcW w:w="2103" w:type="dxa"/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Division of Nuclear Power Plant construction and Operation Technology</w:t>
            </w:r>
          </w:p>
        </w:tc>
        <w:tc>
          <w:tcPr>
            <w:tcW w:w="1174" w:type="dxa"/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10</w:t>
            </w: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.1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10</w:t>
            </w: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.2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10</w:t>
            </w: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.3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10</w:t>
            </w: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.4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10</w:t>
            </w: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.5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10</w:t>
            </w:r>
            <w:r>
              <w:rPr>
                <w:rFonts w:ascii="함초롬돋움" w:eastAsia="함초롬돋움" w:hAnsi="함초롬돋움" w:cs="함초롬돋움" w:hint="eastAsia"/>
                <w:color w:val="000000"/>
                <w:sz w:val="15"/>
                <w:szCs w:val="15"/>
                <w:kern w:val="0"/>
              </w:rPr>
              <w:t>.6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  <w:t>Siting and Construction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  <w:t>Operation, Maintenance, Aging Management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  <w:t>Plant Design &amp; Manufacturing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  <w:t>Plant Water Chemistry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  <w:t>Seismic and External Hazard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  <w:t>Structural Analysis</w:t>
            </w:r>
          </w:p>
        </w:tc>
      </w:tr>
      <w:tr>
        <w:trPr>
          <w:trHeight w:val="912" w:hRule="atLeast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11</w:t>
            </w:r>
          </w:p>
        </w:tc>
        <w:tc>
          <w:tcPr>
            <w:tcW w:w="2103" w:type="dxa"/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Division of Nuclear Policy, Human Resources and Cooperation</w:t>
            </w:r>
          </w:p>
        </w:tc>
        <w:tc>
          <w:tcPr>
            <w:tcW w:w="1174" w:type="dxa"/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11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.1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11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.2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11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.3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11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.4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11.5</w:t>
            </w:r>
          </w:p>
          <w:p>
            <w:pPr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11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.6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jc w:val="left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Nuclear Human Resources Development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Cooperation and Communication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Nuclear Non-Proliferation and Security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Energy Policy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Nuclear Law and Safety Regulation</w:t>
            </w:r>
          </w:p>
          <w:p>
            <w:pPr>
              <w:wordWrap/>
              <w:jc w:val="left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Nuclear Energy Policy</w:t>
            </w:r>
          </w:p>
        </w:tc>
      </w:tr>
      <w:tr>
        <w:trPr>
          <w:trHeight w:val="1304" w:hRule="atLeast"/>
        </w:trPr>
        <w:tc>
          <w:tcPr>
            <w:tcW w:w="1239" w:type="dxa"/>
            <w:tcBorders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2</w:t>
            </w:r>
          </w:p>
        </w:tc>
        <w:tc>
          <w:tcPr>
            <w:tcW w:w="2103" w:type="dxa"/>
            <w:tcBorders>
              <w:bottom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 Division of Nuclear I&amp;C, Human Factors and Automatic Remote Systems</w:t>
            </w:r>
          </w:p>
        </w:tc>
        <w:tc>
          <w:tcPr>
            <w:tcW w:w="1174" w:type="dxa"/>
            <w:tcBorders>
              <w:bottom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2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.1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2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.2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2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.3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2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.4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2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.5</w:t>
            </w:r>
          </w:p>
          <w:p>
            <w:pPr>
              <w:autoSpaceDE/>
              <w:widowControl/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2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.6</w:t>
            </w:r>
          </w:p>
          <w:p>
            <w:pPr>
              <w:wordWrap/>
              <w:jc w:val="center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2</w:t>
            </w: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.7</w:t>
            </w:r>
          </w:p>
        </w:tc>
        <w:tc>
          <w:tcPr>
            <w:tcW w:w="5981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>
            <w:pPr>
              <w:autoSpaceDE/>
              <w:widowControl/>
              <w:wordWrap/>
              <w:jc w:val="left"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Operation and Simulation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Instrumentation and Control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 xml:space="preserve">Human Machine Interface and Human Factors Engineering 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Reliability and Verification/Validation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Automatic Remote Systems and Robotics</w:t>
            </w:r>
          </w:p>
          <w:p>
            <w:pPr>
              <w:autoSpaceDE/>
              <w:widowControl/>
              <w:wordWrap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Condition Monitoring and Maintenance</w:t>
            </w:r>
          </w:p>
          <w:p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sz w:val="15"/>
                <w:szCs w:val="15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sz w:val="15"/>
                <w:szCs w:val="15"/>
                <w:kern w:val="0"/>
              </w:rPr>
              <w:t>Nuclear Cyber Security</w:t>
            </w:r>
          </w:p>
        </w:tc>
      </w:tr>
    </w:tbl>
    <w:p>
      <w:pPr>
        <w:jc w:val="center"/>
        <w:rPr>
          <w:sz w:val="8"/>
        </w:rPr>
      </w:pPr>
    </w:p>
    <w:sectPr>
      <w:pgSz w:w="11905" w:h="16837" w:code="9"/>
      <w:pgMar w:top="454" w:right="720" w:bottom="454" w:left="720" w:header="720" w:footer="720" w:gutter="0"/>
      <w:cols/>
      <w:docGrid w:linePitch="289"/>
      <w:paperSrc w:first="3" w:other="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헤드라인M">
    <w:panose1 w:val="02030600000101010101"/>
    <w:family w:val="HYHeadLine M"/>
    <w:charset w:val="00"/>
    <w:notTrueType w:val="false"/>
    <w:sig w:usb0="7FFFFFFF" w:usb1="01D77CFB" w:usb2="00000010" w:usb3="00000001" w:csb0="00080001" w:csb1="00000001"/>
  </w:font>
  <w:font w:name="함초롬돋움">
    <w:panose1 w:val="020B0604000101010101"/>
    <w:family w:val="HCR Dotum"/>
    <w:charset w:val="00"/>
    <w:notTrueType w:val="false"/>
    <w:sig w:usb0="7FFFFFFF" w:usb1="11DFFFFF" w:usb2="001BFDD7" w:usb3="00000001" w:csb0="001F007F" w:csb1="00000001"/>
  </w:font>
  <w:font w:name="굴림">
    <w:panose1 w:val="020B0600000101010101"/>
    <w:family w:val="Gulim"/>
    <w:charset w:val="00"/>
    <w:notTrueType w:val="false"/>
    <w:sig w:usb0="7FFFFFFF" w:usb1="69D77CFB" w:usb2="00000030" w:usb3="00000001" w:csb0="4008009F" w:csb1="7FFFFFFF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5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213"/>
  <w:drawingGridVerticalSpacing w:val="289"/>
  <w:displayHorizontalDrawingGridEvery w:val="1"/>
  <w:displayVerticalDrawingGridEvery w:val="1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HAnsi" w:hAnsiTheme="minorHAnsi" w:cstheme="minorEastAsia"/>
        <w:szCs w:val="22"/>
        <w:kern w:val="2"/>
      </w:rPr>
    </w:rPrDefault>
    <w:pPrDefault>
      <w:pPr>
        <w:jc w:val="both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57"/>
    <w:lsdException w:name="toc 2" w:uiPriority="57"/>
    <w:lsdException w:name="toc 3" w:uiPriority="57"/>
    <w:lsdException w:name="toc 4" w:uiPriority="57"/>
    <w:lsdException w:name="toc 5" w:uiPriority="57"/>
    <w:lsdException w:name="toc 6" w:uiPriority="57"/>
    <w:lsdException w:name="toc 7" w:uiPriority="57"/>
    <w:lsdException w:name="toc 8" w:uiPriority="57"/>
    <w:lsdException w:name="toc 9" w:uiPriority="57"/>
    <w:lsdException w:name="caption" w:uiPriority="53" w:qFormat="1"/>
    <w:lsdException w:name="Title" w:semiHidden="0" w:uiPriority="16" w:unhideWhenUsed="0" w:qFormat="1"/>
    <w:lsdException w:name="Default Paragraph Font" w:uiPriority="1"/>
    <w:lsdException w:name="Subtitle" w:semiHidden="0" w:uiPriority="17" w:unhideWhenUsed="0" w:qFormat="1"/>
    <w:lsdException w:name="Strong" w:semiHidden="0" w:uiPriority="34" w:unhideWhenUsed="0" w:qFormat="1"/>
    <w:lsdException w:name="Emphasis" w:semiHidden="0" w:uiPriority="32" w:unhideWhenUsed="0" w:qFormat="1"/>
    <w:lsdException w:name="Table Grid" w:semiHidden="0" w:uiPriority="8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96" w:unhideWhenUsed="0"/>
    <w:lsdException w:name="Light List" w:semiHidden="0" w:uiPriority="97" w:unhideWhenUsed="0"/>
    <w:lsdException w:name="Light Grid" w:semiHidden="0" w:uiPriority="98" w:unhideWhenUsed="0"/>
    <w:lsdException w:name="Medium Shading 1" w:semiHidden="0" w:uiPriority="99" w:unhideWhenUsed="0"/>
    <w:lsdException w:name="Medium Shading 2" w:semiHidden="0" w:uiPriority="100" w:unhideWhenUsed="0"/>
    <w:lsdException w:name="Medium List 1" w:semiHidden="0" w:uiPriority="101" w:unhideWhenUsed="0"/>
    <w:lsdException w:name="Medium List 2" w:semiHidden="0" w:uiPriority="102" w:unhideWhenUsed="0"/>
    <w:lsdException w:name="Medium Grid 1" w:semiHidden="0" w:uiPriority="103" w:unhideWhenUsed="0"/>
    <w:lsdException w:name="Medium Grid 2" w:semiHidden="0" w:uiPriority="104" w:unhideWhenUsed="0"/>
    <w:lsdException w:name="Medium Grid 3" w:semiHidden="0" w:uiPriority="105" w:unhideWhenUsed="0"/>
    <w:lsdException w:name="Dark List" w:semiHidden="0" w:uiPriority="112" w:unhideWhenUsed="0"/>
    <w:lsdException w:name="Colorful Shading" w:semiHidden="0" w:uiPriority="113" w:unhideWhenUsed="0"/>
    <w:lsdException w:name="Colorful List" w:semiHidden="0" w:uiPriority="114" w:unhideWhenUsed="0"/>
    <w:lsdException w:name="Colorful Grid" w:semiHidden="0" w:uiPriority="115" w:unhideWhenUsed="0"/>
    <w:lsdException w:name="Light Shading Accent 1" w:semiHidden="0" w:uiPriority="96" w:unhideWhenUsed="0"/>
    <w:lsdException w:name="Light List Accent 1" w:semiHidden="0" w:uiPriority="97" w:unhideWhenUsed="0"/>
    <w:lsdException w:name="Light Grid Accent 1" w:semiHidden="0" w:uiPriority="98" w:unhideWhenUsed="0"/>
    <w:lsdException w:name="Medium Shading 1 Accent 1" w:semiHidden="0" w:uiPriority="99" w:unhideWhenUsed="0"/>
    <w:lsdException w:name="Medium Shading 2 Accent 1" w:semiHidden="0" w:uiPriority="100" w:unhideWhenUsed="0"/>
    <w:lsdException w:name="Medium List 1 Accent 1" w:semiHidden="0" w:uiPriority="101" w:unhideWhenUsed="0"/>
    <w:lsdException w:name="Revision" w:unhideWhenUsed="0"/>
    <w:lsdException w:name="List Paragraph" w:semiHidden="0" w:uiPriority="52" w:unhideWhenUsed="0" w:qFormat="1"/>
    <w:lsdException w:name="Quote" w:semiHidden="0" w:uiPriority="41" w:unhideWhenUsed="0" w:qFormat="1"/>
    <w:lsdException w:name="Intense Quote" w:semiHidden="0" w:uiPriority="48" w:unhideWhenUsed="0" w:qFormat="1"/>
    <w:lsdException w:name="Medium List 2 Accent 1" w:semiHidden="0" w:uiPriority="102" w:unhideWhenUsed="0"/>
    <w:lsdException w:name="Medium Grid 1 Accent 1" w:semiHidden="0" w:uiPriority="103" w:unhideWhenUsed="0"/>
    <w:lsdException w:name="Medium Grid 2 Accent 1" w:semiHidden="0" w:uiPriority="104" w:unhideWhenUsed="0"/>
    <w:lsdException w:name="Medium Grid 3 Accent 1" w:semiHidden="0" w:uiPriority="105" w:unhideWhenUsed="0"/>
    <w:lsdException w:name="Dark List Accent 1" w:semiHidden="0" w:uiPriority="112" w:unhideWhenUsed="0"/>
    <w:lsdException w:name="Colorful Shading Accent 1" w:semiHidden="0" w:uiPriority="113" w:unhideWhenUsed="0"/>
    <w:lsdException w:name="Colorful List Accent 1" w:semiHidden="0" w:uiPriority="114" w:unhideWhenUsed="0"/>
    <w:lsdException w:name="Colorful Grid Accent 1" w:semiHidden="0" w:uiPriority="115" w:unhideWhenUsed="0"/>
    <w:lsdException w:name="Light Shading Accent 2" w:semiHidden="0" w:uiPriority="96" w:unhideWhenUsed="0"/>
    <w:lsdException w:name="Light List Accent 2" w:semiHidden="0" w:uiPriority="97" w:unhideWhenUsed="0"/>
    <w:lsdException w:name="Light Grid Accent 2" w:semiHidden="0" w:uiPriority="98" w:unhideWhenUsed="0"/>
    <w:lsdException w:name="Medium Shading 1 Accent 2" w:semiHidden="0" w:uiPriority="99" w:unhideWhenUsed="0"/>
    <w:lsdException w:name="Medium Shading 2 Accent 2" w:semiHidden="0" w:uiPriority="100" w:unhideWhenUsed="0"/>
    <w:lsdException w:name="Medium List 1 Accent 2" w:semiHidden="0" w:uiPriority="101" w:unhideWhenUsed="0"/>
    <w:lsdException w:name="Medium List 2 Accent 2" w:semiHidden="0" w:uiPriority="102" w:unhideWhenUsed="0"/>
    <w:lsdException w:name="Medium Grid 1 Accent 2" w:semiHidden="0" w:uiPriority="103" w:unhideWhenUsed="0"/>
    <w:lsdException w:name="Medium Grid 2 Accent 2" w:semiHidden="0" w:uiPriority="104" w:unhideWhenUsed="0"/>
    <w:lsdException w:name="Medium Grid 3 Accent 2" w:semiHidden="0" w:uiPriority="105" w:unhideWhenUsed="0"/>
    <w:lsdException w:name="Dark List Accent 2" w:semiHidden="0" w:uiPriority="112" w:unhideWhenUsed="0"/>
    <w:lsdException w:name="Colorful Shading Accent 2" w:semiHidden="0" w:uiPriority="113" w:unhideWhenUsed="0"/>
    <w:lsdException w:name="Colorful List Accent 2" w:semiHidden="0" w:uiPriority="114" w:unhideWhenUsed="0"/>
    <w:lsdException w:name="Colorful Grid Accent 2" w:semiHidden="0" w:uiPriority="115" w:unhideWhenUsed="0"/>
    <w:lsdException w:name="Light Shading Accent 3" w:semiHidden="0" w:uiPriority="96" w:unhideWhenUsed="0"/>
    <w:lsdException w:name="Light List Accent 3" w:semiHidden="0" w:uiPriority="97" w:unhideWhenUsed="0"/>
    <w:lsdException w:name="Light Grid Accent 3" w:semiHidden="0" w:uiPriority="98" w:unhideWhenUsed="0"/>
    <w:lsdException w:name="Medium Shading 1 Accent 3" w:semiHidden="0" w:uiPriority="99" w:unhideWhenUsed="0"/>
    <w:lsdException w:name="Medium Shading 2 Accent 3" w:semiHidden="0" w:uiPriority="100" w:unhideWhenUsed="0"/>
    <w:lsdException w:name="Medium List 1 Accent 3" w:semiHidden="0" w:uiPriority="101" w:unhideWhenUsed="0"/>
    <w:lsdException w:name="Medium List 2 Accent 3" w:semiHidden="0" w:uiPriority="102" w:unhideWhenUsed="0"/>
    <w:lsdException w:name="Medium Grid 1 Accent 3" w:semiHidden="0" w:uiPriority="103" w:unhideWhenUsed="0"/>
    <w:lsdException w:name="Medium Grid 2 Accent 3" w:semiHidden="0" w:uiPriority="104" w:unhideWhenUsed="0"/>
    <w:lsdException w:name="Medium Grid 3 Accent 3" w:semiHidden="0" w:uiPriority="105" w:unhideWhenUsed="0"/>
    <w:lsdException w:name="Dark List Accent 3" w:semiHidden="0" w:uiPriority="112" w:unhideWhenUsed="0"/>
    <w:lsdException w:name="Colorful Shading Accent 3" w:semiHidden="0" w:uiPriority="113" w:unhideWhenUsed="0"/>
    <w:lsdException w:name="Colorful List Accent 3" w:semiHidden="0" w:uiPriority="114" w:unhideWhenUsed="0"/>
    <w:lsdException w:name="Colorful Grid Accent 3" w:semiHidden="0" w:uiPriority="115" w:unhideWhenUsed="0"/>
    <w:lsdException w:name="Light Shading Accent 4" w:semiHidden="0" w:uiPriority="96" w:unhideWhenUsed="0"/>
    <w:lsdException w:name="Light List Accent 4" w:semiHidden="0" w:uiPriority="97" w:unhideWhenUsed="0"/>
    <w:lsdException w:name="Light Grid Accent 4" w:semiHidden="0" w:uiPriority="98" w:unhideWhenUsed="0"/>
    <w:lsdException w:name="Medium Shading 1 Accent 4" w:semiHidden="0" w:uiPriority="99" w:unhideWhenUsed="0"/>
    <w:lsdException w:name="Medium Shading 2 Accent 4" w:semiHidden="0" w:uiPriority="100" w:unhideWhenUsed="0"/>
    <w:lsdException w:name="Medium List 1 Accent 4" w:semiHidden="0" w:uiPriority="101" w:unhideWhenUsed="0"/>
    <w:lsdException w:name="Medium List 2 Accent 4" w:semiHidden="0" w:uiPriority="102" w:unhideWhenUsed="0"/>
    <w:lsdException w:name="Medium Grid 1 Accent 4" w:semiHidden="0" w:uiPriority="103" w:unhideWhenUsed="0"/>
    <w:lsdException w:name="Medium Grid 2 Accent 4" w:semiHidden="0" w:uiPriority="104" w:unhideWhenUsed="0"/>
    <w:lsdException w:name="Medium Grid 3 Accent 4" w:semiHidden="0" w:uiPriority="105" w:unhideWhenUsed="0"/>
    <w:lsdException w:name="Dark List Accent 4" w:semiHidden="0" w:uiPriority="112" w:unhideWhenUsed="0"/>
    <w:lsdException w:name="Colorful Shading Accent 4" w:semiHidden="0" w:uiPriority="113" w:unhideWhenUsed="0"/>
    <w:lsdException w:name="Colorful List Accent 4" w:semiHidden="0" w:uiPriority="114" w:unhideWhenUsed="0"/>
    <w:lsdException w:name="Colorful Grid Accent 4" w:semiHidden="0" w:uiPriority="115" w:unhideWhenUsed="0"/>
    <w:lsdException w:name="Light Shading Accent 5" w:semiHidden="0" w:uiPriority="96" w:unhideWhenUsed="0"/>
    <w:lsdException w:name="Light List Accent 5" w:semiHidden="0" w:uiPriority="97" w:unhideWhenUsed="0"/>
    <w:lsdException w:name="Light Grid Accent 5" w:semiHidden="0" w:uiPriority="98" w:unhideWhenUsed="0"/>
    <w:lsdException w:name="Medium Shading 1 Accent 5" w:semiHidden="0" w:uiPriority="99" w:unhideWhenUsed="0"/>
    <w:lsdException w:name="Medium Shading 2 Accent 5" w:semiHidden="0" w:uiPriority="100" w:unhideWhenUsed="0"/>
    <w:lsdException w:name="Medium List 1 Accent 5" w:semiHidden="0" w:uiPriority="101" w:unhideWhenUsed="0"/>
    <w:lsdException w:name="Medium List 2 Accent 5" w:semiHidden="0" w:uiPriority="102" w:unhideWhenUsed="0"/>
    <w:lsdException w:name="Medium Grid 1 Accent 5" w:semiHidden="0" w:uiPriority="103" w:unhideWhenUsed="0"/>
    <w:lsdException w:name="Medium Grid 2 Accent 5" w:semiHidden="0" w:uiPriority="104" w:unhideWhenUsed="0"/>
    <w:lsdException w:name="Medium Grid 3 Accent 5" w:semiHidden="0" w:uiPriority="105" w:unhideWhenUsed="0"/>
    <w:lsdException w:name="Dark List Accent 5" w:semiHidden="0" w:uiPriority="112" w:unhideWhenUsed="0"/>
    <w:lsdException w:name="Colorful Shading Accent 5" w:semiHidden="0" w:uiPriority="113" w:unhideWhenUsed="0"/>
    <w:lsdException w:name="Colorful List Accent 5" w:semiHidden="0" w:uiPriority="114" w:unhideWhenUsed="0"/>
    <w:lsdException w:name="Colorful Grid Accent 5" w:semiHidden="0" w:uiPriority="115" w:unhideWhenUsed="0"/>
    <w:lsdException w:name="Light Shading Accent 6" w:semiHidden="0" w:uiPriority="96" w:unhideWhenUsed="0"/>
    <w:lsdException w:name="Light List Accent 6" w:semiHidden="0" w:uiPriority="97" w:unhideWhenUsed="0"/>
    <w:lsdException w:name="Light Grid Accent 6" w:semiHidden="0" w:uiPriority="98" w:unhideWhenUsed="0"/>
    <w:lsdException w:name="Medium Shading 1 Accent 6" w:semiHidden="0" w:uiPriority="99" w:unhideWhenUsed="0"/>
    <w:lsdException w:name="Medium Shading 2 Accent 6" w:semiHidden="0" w:uiPriority="100" w:unhideWhenUsed="0"/>
    <w:lsdException w:name="Medium List 1 Accent 6" w:semiHidden="0" w:uiPriority="101" w:unhideWhenUsed="0"/>
    <w:lsdException w:name="Medium List 2 Accent 6" w:semiHidden="0" w:uiPriority="102" w:unhideWhenUsed="0"/>
    <w:lsdException w:name="Medium Grid 1 Accent 6" w:semiHidden="0" w:uiPriority="103" w:unhideWhenUsed="0"/>
    <w:lsdException w:name="Medium Grid 2 Accent 6" w:semiHidden="0" w:uiPriority="104" w:unhideWhenUsed="0"/>
    <w:lsdException w:name="Medium Grid 3 Accent 6" w:semiHidden="0" w:uiPriority="105" w:unhideWhenUsed="0"/>
    <w:lsdException w:name="Dark List Accent 6" w:semiHidden="0" w:uiPriority="112" w:unhideWhenUsed="0"/>
    <w:lsdException w:name="Colorful Shading Accent 6" w:semiHidden="0" w:uiPriority="113" w:unhideWhenUsed="0"/>
    <w:lsdException w:name="Colorful List Accent 6" w:semiHidden="0" w:uiPriority="114" w:unhideWhenUsed="0"/>
    <w:lsdException w:name="Colorful Grid Accent 6" w:semiHidden="0" w:uiPriority="115" w:unhideWhenUsed="0"/>
    <w:lsdException w:name="Subtle Emphasis" w:semiHidden="0" w:uiPriority="25" w:unhideWhenUsed="0" w:qFormat="1"/>
    <w:lsdException w:name="Intense Emphasis" w:semiHidden="0" w:uiPriority="33" w:unhideWhenUsed="0" w:qFormat="1"/>
    <w:lsdException w:name="Subtle Reference" w:semiHidden="0" w:uiPriority="49" w:unhideWhenUsed="0" w:qFormat="1"/>
    <w:lsdException w:name="Intense Reference" w:semiHidden="0" w:uiPriority="50" w:unhideWhenUsed="0" w:qFormat="1"/>
    <w:lsdException w:name="Book Title" w:semiHidden="0" w:uiPriority="51" w:unhideWhenUsed="0" w:qFormat="1"/>
    <w:lsdException w:name="Bibliography" w:uiPriority="55"/>
    <w:lsdException w:name="TOC Heading" w:uiPriority="57" w:qFormat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customStyle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szCs w:val="20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</dc:creator>
  <cp:keywords/>
  <dc:description/>
  <cp:lastModifiedBy>유진원</cp:lastModifiedBy>
  <cp:revision>1</cp:revision>
  <dcterms:created xsi:type="dcterms:W3CDTF">2021-01-29T07:19:00Z</dcterms:created>
  <dcterms:modified xsi:type="dcterms:W3CDTF">2025-06-19T00:14:01Z</dcterms:modified>
  <cp:lastPrinted>2016-06-22T04:33:00Z</cp:lastPrinted>
  <cp:version>1300.0100.01</cp:version>
</cp:coreProperties>
</file>